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8CB" w14:textId="77777777" w:rsidR="00ED7DCB" w:rsidRPr="00E62538" w:rsidRDefault="00ED7DCB" w:rsidP="00ED7DCB">
      <w:pPr>
        <w:rPr>
          <w:rFonts w:ascii="Arial" w:hAnsi="Arial" w:cs="Arial"/>
          <w:b/>
          <w:bCs/>
        </w:rPr>
      </w:pPr>
      <w:r w:rsidRPr="00E62538">
        <w:rPr>
          <w:rFonts w:ascii="Arial" w:hAnsi="Arial" w:cs="Arial"/>
          <w:b/>
          <w:bCs/>
        </w:rPr>
        <w:t>Primici i izdaci u planu novčanih tijekova planiraju se u skladu s novčanim računovodstvenim načelom (načelom blagajne), što znači da se primici i izdaci planiraju na temelju planiranog iznosa uplata i predviđenih isplata, uključujući i obračunska plaćanja.</w:t>
      </w:r>
    </w:p>
    <w:p w14:paraId="46BB4886" w14:textId="77777777" w:rsidR="00ED7DCB" w:rsidRPr="00CE0FE5" w:rsidRDefault="00ED7DCB" w:rsidP="00ED7DCB">
      <w:pPr>
        <w:rPr>
          <w:rFonts w:ascii="Arial" w:hAnsi="Arial" w:cs="Arial"/>
        </w:rPr>
      </w:pPr>
      <w:r w:rsidRPr="00CE0FE5">
        <w:rPr>
          <w:rFonts w:ascii="Arial" w:hAnsi="Arial" w:cs="Arial"/>
        </w:rPr>
        <w:t>U financijskom planu neprofitne organizacije mora biti vidljiv planirani rezultat poslovanja za koji se očekuje da će ga neprofitna organizacija ostvariti na dan 31. prosinca godine koja prethodi godini za koju se donosi financijski plan.</w:t>
      </w:r>
    </w:p>
    <w:p w14:paraId="19DA225C" w14:textId="77777777" w:rsidR="00ED7DCB" w:rsidRPr="00CE0FE5" w:rsidRDefault="00ED7DCB" w:rsidP="00ED7DCB">
      <w:pPr>
        <w:rPr>
          <w:rFonts w:ascii="Arial" w:hAnsi="Arial" w:cs="Arial"/>
        </w:rPr>
      </w:pPr>
      <w:r w:rsidRPr="00CE0FE5">
        <w:rPr>
          <w:rFonts w:ascii="Arial" w:hAnsi="Arial" w:cs="Arial"/>
        </w:rPr>
        <w:t>(2) Rezultat poslovanja iz stavka 1. ovoga članka sastoji se od prenesenog manjka, odnosno viška iz prethodnih godina i očekivanog manjka, odnosno viška za godinu koja prethodi godini za koju se donosi financijski plan.</w:t>
      </w:r>
    </w:p>
    <w:p w14:paraId="6064E98E" w14:textId="77777777" w:rsidR="00ED7DCB" w:rsidRPr="00CE0FE5" w:rsidRDefault="00ED7DCB" w:rsidP="00ED7DCB">
      <w:pPr>
        <w:rPr>
          <w:rFonts w:ascii="Arial" w:hAnsi="Arial" w:cs="Arial"/>
        </w:rPr>
      </w:pPr>
      <w:r w:rsidRPr="00CE0FE5">
        <w:rPr>
          <w:rFonts w:ascii="Arial" w:hAnsi="Arial" w:cs="Arial"/>
        </w:rPr>
        <w:t>(3) Preneseni manjkovi, odnosno viškovi iz prethodnih godina ne moraju biti nužno pokriveni, odnosno iskorišteni (utrošeni) u godini za koju se sastavlja financijski plan.</w:t>
      </w:r>
    </w:p>
    <w:p w14:paraId="1A60C707" w14:textId="77777777" w:rsidR="00ED7DCB" w:rsidRPr="00CE0FE5" w:rsidRDefault="00ED7DCB" w:rsidP="00ED7DCB">
      <w:pPr>
        <w:rPr>
          <w:rFonts w:ascii="Arial" w:hAnsi="Arial" w:cs="Arial"/>
        </w:rPr>
      </w:pPr>
      <w:r w:rsidRPr="00CE0FE5">
        <w:rPr>
          <w:rFonts w:ascii="Arial" w:hAnsi="Arial" w:cs="Arial"/>
        </w:rPr>
        <w:t>(1) Izmjene i dopune financijskog plana provode se tijekom godine po postupku za donošenje financijskog plana.</w:t>
      </w:r>
    </w:p>
    <w:p w14:paraId="0DC0143D" w14:textId="77777777" w:rsidR="00ED7DCB" w:rsidRPr="00CE0FE5" w:rsidRDefault="00ED7DCB" w:rsidP="00ED7DCB">
      <w:pPr>
        <w:rPr>
          <w:rFonts w:ascii="Arial" w:hAnsi="Arial" w:cs="Arial"/>
        </w:rPr>
      </w:pPr>
      <w:r w:rsidRPr="00CE0FE5">
        <w:rPr>
          <w:rFonts w:ascii="Arial" w:hAnsi="Arial" w:cs="Arial"/>
        </w:rPr>
        <w:t>(2) Izmjene i dopune financijskog plana obvezno se provode u slučaju značajnih odstupanja nastalih prihoda i rashoda u odnosu na planirane, a posebice u slučaju nastanka novih obveza za čije podmirenje sredstva nisu osigurana, odnosno smanjenja prihoda uz čije je ostvarenje vezano podmirenje već nastalih obveza.</w:t>
      </w:r>
    </w:p>
    <w:p w14:paraId="1CD52095" w14:textId="77777777" w:rsidR="00ED7DCB" w:rsidRPr="00CE0FE5" w:rsidRDefault="00ED7DCB" w:rsidP="00ED7DCB">
      <w:pPr>
        <w:rPr>
          <w:rFonts w:ascii="Arial" w:hAnsi="Arial" w:cs="Arial"/>
        </w:rPr>
      </w:pPr>
      <w:r w:rsidRPr="00CE0FE5">
        <w:rPr>
          <w:rFonts w:ascii="Arial" w:hAnsi="Arial" w:cs="Arial"/>
        </w:rPr>
        <w:t>(3) Izmjene i dopune financijskog plana nije potrebno provoditi za manje planirane ili neplanirane obveze za rashode koji se financiraju iz osiguranih sredstava.</w:t>
      </w:r>
    </w:p>
    <w:p w14:paraId="374FC55A" w14:textId="77777777" w:rsidR="00ED7DCB" w:rsidRPr="00CE0FE5" w:rsidRDefault="00ED7DCB" w:rsidP="00ED7DCB">
      <w:pPr>
        <w:rPr>
          <w:rFonts w:ascii="Arial" w:hAnsi="Arial" w:cs="Arial"/>
        </w:rPr>
      </w:pPr>
      <w:r w:rsidRPr="00CE0FE5">
        <w:rPr>
          <w:rFonts w:ascii="Arial" w:hAnsi="Arial" w:cs="Arial"/>
        </w:rPr>
        <w:t>Zakonski zastupnik odgovoran je za zakonito i pravilno izvršavanje financijskog plana neprofitne organizacije.</w:t>
      </w:r>
    </w:p>
    <w:p w14:paraId="0A52E3A4" w14:textId="77777777" w:rsidR="00ED7DCB" w:rsidRPr="00CE0FE5" w:rsidRDefault="00ED7DCB" w:rsidP="00ED7DCB">
      <w:pPr>
        <w:rPr>
          <w:rFonts w:ascii="Arial" w:hAnsi="Arial" w:cs="Arial"/>
        </w:rPr>
      </w:pPr>
      <w:r w:rsidRPr="00CE0FE5">
        <w:rPr>
          <w:rFonts w:ascii="Arial" w:hAnsi="Arial" w:cs="Arial"/>
        </w:rPr>
        <w:t>Članak 21.</w:t>
      </w:r>
    </w:p>
    <w:p w14:paraId="28F3CB2B" w14:textId="77777777" w:rsidR="00ED7DCB" w:rsidRPr="00CE0FE5" w:rsidRDefault="00ED7DCB" w:rsidP="00ED7DCB">
      <w:pPr>
        <w:rPr>
          <w:rFonts w:ascii="Arial" w:hAnsi="Arial" w:cs="Arial"/>
        </w:rPr>
      </w:pPr>
      <w:r w:rsidRPr="00CE0FE5">
        <w:rPr>
          <w:rFonts w:ascii="Arial" w:hAnsi="Arial" w:cs="Arial"/>
        </w:rPr>
        <w:t>(1) Financijski plan neprofitne organizacije izvršava se u skladu s raspoloživim financijskim sredstvima i dospjelim obvezama.</w:t>
      </w:r>
    </w:p>
    <w:p w14:paraId="2BC5FA21" w14:textId="77777777" w:rsidR="00ED7DCB" w:rsidRPr="00CE0FE5" w:rsidRDefault="00ED7DCB" w:rsidP="00ED7DCB">
      <w:pPr>
        <w:rPr>
          <w:rFonts w:ascii="Arial" w:hAnsi="Arial" w:cs="Arial"/>
        </w:rPr>
      </w:pPr>
      <w:r w:rsidRPr="00CE0FE5">
        <w:rPr>
          <w:rFonts w:ascii="Arial" w:hAnsi="Arial" w:cs="Arial"/>
        </w:rPr>
        <w:t>(2) Financijska sredstva koriste se prema namjenama i u visini utvrđenoj financijskim planom neprofitne organizacije.</w:t>
      </w:r>
    </w:p>
    <w:p w14:paraId="65197EBB" w14:textId="77777777" w:rsidR="00ED7DCB" w:rsidRPr="00CE0FE5" w:rsidRDefault="00ED7DCB" w:rsidP="00ED7DCB">
      <w:pPr>
        <w:rPr>
          <w:rFonts w:ascii="Arial" w:hAnsi="Arial" w:cs="Arial"/>
        </w:rPr>
      </w:pPr>
      <w:r w:rsidRPr="00CE0FE5">
        <w:rPr>
          <w:rFonts w:ascii="Arial" w:hAnsi="Arial" w:cs="Arial"/>
        </w:rPr>
        <w:t>Članak 22.</w:t>
      </w:r>
    </w:p>
    <w:p w14:paraId="1E1FB55C" w14:textId="77777777" w:rsidR="00ED7DCB" w:rsidRPr="00CE0FE5" w:rsidRDefault="00ED7DCB" w:rsidP="00ED7DCB">
      <w:pPr>
        <w:rPr>
          <w:rFonts w:ascii="Arial" w:hAnsi="Arial" w:cs="Arial"/>
        </w:rPr>
      </w:pPr>
      <w:r w:rsidRPr="00CE0FE5">
        <w:rPr>
          <w:rFonts w:ascii="Arial" w:hAnsi="Arial" w:cs="Arial"/>
        </w:rPr>
        <w:t>(1) Svaki rashod i izdatak iz financijskog plana mora se temeljiti na vjerodostojnoj knjigovodstvenoj ispravi kojom se dokazuje obveza plaćanja.</w:t>
      </w:r>
    </w:p>
    <w:p w14:paraId="417D53B4" w14:textId="77777777" w:rsidR="00ED7DCB" w:rsidRPr="00CE0FE5" w:rsidRDefault="00ED7DCB" w:rsidP="00ED7DCB">
      <w:pPr>
        <w:rPr>
          <w:rFonts w:ascii="Arial" w:hAnsi="Arial" w:cs="Arial"/>
        </w:rPr>
      </w:pPr>
      <w:r w:rsidRPr="00CE0FE5">
        <w:rPr>
          <w:rFonts w:ascii="Arial" w:hAnsi="Arial" w:cs="Arial"/>
        </w:rPr>
        <w:t>(2) Zakonski zastupnik, odnosno osoba koju on ovlasti odobrava plaćanje potpisom ili drugom oznakom na vjerodostojnoj knjigovodstvenoj ispravi.</w:t>
      </w:r>
    </w:p>
    <w:p w14:paraId="0000EC99" w14:textId="77777777" w:rsidR="00ED7DCB" w:rsidRDefault="00ED7DCB" w:rsidP="00ED7DCB">
      <w:pPr>
        <w:rPr>
          <w:rFonts w:ascii="Arial" w:hAnsi="Arial" w:cs="Arial"/>
        </w:rPr>
      </w:pPr>
      <w:r w:rsidRPr="00CE0FE5">
        <w:rPr>
          <w:rFonts w:ascii="Arial" w:hAnsi="Arial" w:cs="Arial"/>
        </w:rPr>
        <w:t>Neprofitna organizacija ne mora radi usklađivanja s odredbama ovoga Pravilnika mijenjati odredbe statuta, već može donositi opće akte.</w:t>
      </w:r>
    </w:p>
    <w:p w14:paraId="3E8152A5" w14:textId="77777777" w:rsidR="00ED7DCB" w:rsidRDefault="00ED7DCB" w:rsidP="00ED7DCB">
      <w:pPr>
        <w:rPr>
          <w:rFonts w:ascii="Arial" w:hAnsi="Arial" w:cs="Arial"/>
        </w:rPr>
      </w:pPr>
    </w:p>
    <w:p w14:paraId="024C4C1A" w14:textId="77777777" w:rsidR="00ED7DCB" w:rsidRDefault="00ED7DCB" w:rsidP="00ED7DCB">
      <w:pPr>
        <w:rPr>
          <w:rFonts w:ascii="Arial" w:hAnsi="Arial" w:cs="Arial"/>
        </w:rPr>
      </w:pPr>
    </w:p>
    <w:p w14:paraId="44103FA3" w14:textId="77777777" w:rsidR="00ED7DCB" w:rsidRPr="00AB32D6" w:rsidRDefault="00ED7DCB" w:rsidP="00ED7DCB">
      <w:pPr>
        <w:rPr>
          <w:rFonts w:ascii="Arial" w:hAnsi="Arial" w:cs="Arial"/>
        </w:rPr>
      </w:pPr>
    </w:p>
    <w:p w14:paraId="70C919C7" w14:textId="77777777" w:rsidR="00A13D7E" w:rsidRDefault="00A13D7E"/>
    <w:sectPr w:rsidR="00A13D7E" w:rsidSect="00ED7DCB">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7E"/>
    <w:rsid w:val="00A13D7E"/>
    <w:rsid w:val="00B60295"/>
    <w:rsid w:val="00ED7D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2F710-3782-4661-A6D6-5DDB25D0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CB"/>
  </w:style>
  <w:style w:type="paragraph" w:styleId="Naslov1">
    <w:name w:val="heading 1"/>
    <w:basedOn w:val="Normal"/>
    <w:next w:val="Normal"/>
    <w:link w:val="Naslov1Char"/>
    <w:uiPriority w:val="9"/>
    <w:qFormat/>
    <w:rsid w:val="00A13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13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13D7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13D7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13D7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13D7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13D7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13D7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13D7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13D7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13D7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13D7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13D7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13D7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13D7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13D7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13D7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13D7E"/>
    <w:rPr>
      <w:rFonts w:eastAsiaTheme="majorEastAsia" w:cstheme="majorBidi"/>
      <w:color w:val="272727" w:themeColor="text1" w:themeTint="D8"/>
    </w:rPr>
  </w:style>
  <w:style w:type="paragraph" w:styleId="Naslov">
    <w:name w:val="Title"/>
    <w:basedOn w:val="Normal"/>
    <w:next w:val="Normal"/>
    <w:link w:val="NaslovChar"/>
    <w:uiPriority w:val="10"/>
    <w:qFormat/>
    <w:rsid w:val="00A13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13D7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3D7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13D7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3D7E"/>
    <w:pPr>
      <w:spacing w:before="160"/>
      <w:jc w:val="center"/>
    </w:pPr>
    <w:rPr>
      <w:i/>
      <w:iCs/>
      <w:color w:val="404040" w:themeColor="text1" w:themeTint="BF"/>
    </w:rPr>
  </w:style>
  <w:style w:type="character" w:customStyle="1" w:styleId="CitatChar">
    <w:name w:val="Citat Char"/>
    <w:basedOn w:val="Zadanifontodlomka"/>
    <w:link w:val="Citat"/>
    <w:uiPriority w:val="29"/>
    <w:rsid w:val="00A13D7E"/>
    <w:rPr>
      <w:i/>
      <w:iCs/>
      <w:color w:val="404040" w:themeColor="text1" w:themeTint="BF"/>
    </w:rPr>
  </w:style>
  <w:style w:type="paragraph" w:styleId="Odlomakpopisa">
    <w:name w:val="List Paragraph"/>
    <w:basedOn w:val="Normal"/>
    <w:uiPriority w:val="34"/>
    <w:qFormat/>
    <w:rsid w:val="00A13D7E"/>
    <w:pPr>
      <w:ind w:left="720"/>
      <w:contextualSpacing/>
    </w:pPr>
  </w:style>
  <w:style w:type="character" w:styleId="Jakoisticanje">
    <w:name w:val="Intense Emphasis"/>
    <w:basedOn w:val="Zadanifontodlomka"/>
    <w:uiPriority w:val="21"/>
    <w:qFormat/>
    <w:rsid w:val="00A13D7E"/>
    <w:rPr>
      <w:i/>
      <w:iCs/>
      <w:color w:val="0F4761" w:themeColor="accent1" w:themeShade="BF"/>
    </w:rPr>
  </w:style>
  <w:style w:type="paragraph" w:styleId="Naglaencitat">
    <w:name w:val="Intense Quote"/>
    <w:basedOn w:val="Normal"/>
    <w:next w:val="Normal"/>
    <w:link w:val="NaglaencitatChar"/>
    <w:uiPriority w:val="30"/>
    <w:qFormat/>
    <w:rsid w:val="00A13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13D7E"/>
    <w:rPr>
      <w:i/>
      <w:iCs/>
      <w:color w:val="0F4761" w:themeColor="accent1" w:themeShade="BF"/>
    </w:rPr>
  </w:style>
  <w:style w:type="character" w:styleId="Istaknutareferenca">
    <w:name w:val="Intense Reference"/>
    <w:basedOn w:val="Zadanifontodlomka"/>
    <w:uiPriority w:val="32"/>
    <w:qFormat/>
    <w:rsid w:val="00A13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Topić</dc:creator>
  <cp:keywords/>
  <dc:description/>
  <cp:lastModifiedBy>Ivan Topić</cp:lastModifiedBy>
  <cp:revision>2</cp:revision>
  <dcterms:created xsi:type="dcterms:W3CDTF">2025-02-13T20:48:00Z</dcterms:created>
  <dcterms:modified xsi:type="dcterms:W3CDTF">2025-02-13T20:49:00Z</dcterms:modified>
</cp:coreProperties>
</file>